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B69D" w14:textId="77777777" w:rsidR="00680564" w:rsidRPr="006146DA" w:rsidRDefault="00680564" w:rsidP="00680564">
      <w:pPr>
        <w:jc w:val="center"/>
        <w:rPr>
          <w:b/>
          <w:color w:val="0070C0"/>
        </w:rPr>
      </w:pPr>
      <w:r w:rsidRPr="006146DA">
        <w:rPr>
          <w:b/>
          <w:color w:val="0070C0"/>
        </w:rPr>
        <w:t>CONT933 Module 2 Culminating Task Template</w:t>
      </w:r>
    </w:p>
    <w:p w14:paraId="1B4C5FEE" w14:textId="77777777" w:rsidR="00680564" w:rsidRPr="00F32BE4" w:rsidRDefault="00680564" w:rsidP="00680564">
      <w:pPr>
        <w:rPr>
          <w:b/>
          <w:bCs/>
        </w:rPr>
      </w:pPr>
      <w:r w:rsidRPr="00F32BE4">
        <w:rPr>
          <w:b/>
          <w:bCs/>
        </w:rPr>
        <w:t>PART 1: Reflect on the SAMR Model</w:t>
      </w:r>
    </w:p>
    <w:p w14:paraId="5C08FE75" w14:textId="77777777" w:rsidR="00680564" w:rsidRPr="006146DA" w:rsidRDefault="00680564" w:rsidP="00680564">
      <w:r w:rsidRPr="006146DA">
        <w:t xml:space="preserve">Think about a lesson that you’ve created or that you will create </w:t>
      </w:r>
      <w:proofErr w:type="gramStart"/>
      <w:r w:rsidRPr="006146DA">
        <w:t>in the near future</w:t>
      </w:r>
      <w:proofErr w:type="gramEnd"/>
      <w:r w:rsidRPr="006146DA">
        <w:t xml:space="preserve">. </w:t>
      </w:r>
    </w:p>
    <w:p w14:paraId="6016B5E7" w14:textId="47841F08" w:rsidR="00680564" w:rsidRPr="006146DA" w:rsidRDefault="00680564" w:rsidP="00680564">
      <w:r w:rsidRPr="006146DA">
        <w:t xml:space="preserve">If you could use a technology tool to </w:t>
      </w:r>
      <w:r w:rsidRPr="0058531A">
        <w:rPr>
          <w:i/>
          <w:iCs/>
        </w:rPr>
        <w:t>further the learning</w:t>
      </w:r>
      <w:r w:rsidRPr="006146DA">
        <w:t xml:space="preserve"> of your student</w:t>
      </w:r>
      <w:r w:rsidR="0058531A">
        <w:t>,</w:t>
      </w:r>
      <w:r w:rsidRPr="006146DA">
        <w:t xml:space="preserve"> what would it look like? Sound like? Feel like …</w:t>
      </w:r>
      <w:r w:rsidR="0058531A">
        <w:t xml:space="preserve"> </w:t>
      </w:r>
      <w:r w:rsidRPr="006146DA">
        <w:t>for the student and</w:t>
      </w:r>
      <w:r w:rsidR="0058531A">
        <w:t xml:space="preserve"> for</w:t>
      </w:r>
      <w:r w:rsidRPr="006146DA">
        <w:t xml:space="preserve"> you</w:t>
      </w:r>
      <w:r w:rsidR="0058531A">
        <w:t>?</w:t>
      </w:r>
    </w:p>
    <w:p w14:paraId="624D523B" w14:textId="77777777" w:rsidR="00680564" w:rsidRPr="006146DA" w:rsidRDefault="00680564" w:rsidP="00680564">
      <w:r w:rsidRPr="006146DA">
        <w:t>When and how could you move that lesson to the next level of learning?</w:t>
      </w:r>
    </w:p>
    <w:p w14:paraId="4B58902D" w14:textId="04245F82" w:rsidR="00680564" w:rsidRPr="006146DA" w:rsidRDefault="00680564" w:rsidP="006805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1701"/>
          <w:tab w:val="left" w:pos="6521"/>
        </w:tabs>
        <w:rPr>
          <w:b/>
          <w:color w:val="0070C0"/>
        </w:rPr>
      </w:pPr>
      <w:r w:rsidRPr="00FC7931">
        <w:rPr>
          <w:b/>
        </w:rPr>
        <w:t xml:space="preserve">Activity Name:   </w:t>
      </w:r>
      <w:r>
        <w:rPr>
          <w:b/>
        </w:rPr>
        <w:t xml:space="preserve"> </w:t>
      </w:r>
    </w:p>
    <w:tbl>
      <w:tblPr>
        <w:tblW w:w="94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750"/>
      </w:tblGrid>
      <w:tr w:rsidR="00680564" w:rsidRPr="006146DA" w14:paraId="6A13BC89" w14:textId="77777777" w:rsidTr="0086725F"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FA06" w14:textId="77777777" w:rsidR="00680564" w:rsidRPr="006146DA" w:rsidRDefault="00680564" w:rsidP="0086725F">
            <w:pPr>
              <w:rPr>
                <w:b/>
              </w:rPr>
            </w:pPr>
            <w:r w:rsidRPr="006146DA">
              <w:rPr>
                <w:b/>
              </w:rPr>
              <w:t xml:space="preserve">Grade Level: 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6C54" w14:textId="511FC7E1" w:rsidR="00680564" w:rsidRPr="006146DA" w:rsidRDefault="000F7419" w:rsidP="0086725F">
            <w:pPr>
              <w:widowControl w:val="0"/>
              <w:spacing w:line="240" w:lineRule="auto"/>
            </w:pPr>
            <w:r>
              <w:t>4</w:t>
            </w:r>
          </w:p>
        </w:tc>
      </w:tr>
      <w:tr w:rsidR="00680564" w:rsidRPr="006146DA" w14:paraId="629B5D2C" w14:textId="77777777" w:rsidTr="0086725F"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D4CD" w14:textId="77777777" w:rsidR="00680564" w:rsidRPr="006146DA" w:rsidRDefault="00680564" w:rsidP="0086725F">
            <w:pPr>
              <w:rPr>
                <w:b/>
              </w:rPr>
            </w:pPr>
            <w:r w:rsidRPr="006146DA">
              <w:rPr>
                <w:b/>
              </w:rPr>
              <w:t>Curriculum Content (Mathematics):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F462" w14:textId="1680C537" w:rsidR="006D73B0" w:rsidRPr="006D73B0" w:rsidRDefault="006D73B0" w:rsidP="000F7419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>Big Idea:</w:t>
            </w:r>
          </w:p>
          <w:p w14:paraId="651A9CE7" w14:textId="4ED388CC" w:rsidR="006D73B0" w:rsidRPr="006D73B0" w:rsidRDefault="006D73B0" w:rsidP="006D73B0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Development of computational </w:t>
            </w:r>
            <w:hyperlink r:id="rId8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fluency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and multiplicative thinking requires analysis of patterns and relations in multiplication and division.</w:t>
            </w:r>
          </w:p>
          <w:p w14:paraId="4839CAF2" w14:textId="6C2B70C4" w:rsidR="006D73B0" w:rsidRPr="006D73B0" w:rsidRDefault="006D73B0" w:rsidP="000F7419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991FAA6" w14:textId="5C6566EB" w:rsidR="006D73B0" w:rsidRPr="006D73B0" w:rsidRDefault="006D73B0" w:rsidP="000F7419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>Curricular Content</w:t>
            </w:r>
          </w:p>
          <w:p w14:paraId="0D99C782" w14:textId="77777777" w:rsidR="006D73B0" w:rsidRPr="006D73B0" w:rsidRDefault="006D73B0" w:rsidP="006D73B0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multiplication and division </w:t>
            </w:r>
            <w:hyperlink r:id="rId9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facts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 xml:space="preserve"> to </w:t>
            </w:r>
            <w:proofErr w:type="gramStart"/>
            <w:r w:rsidRPr="006D73B0">
              <w:rPr>
                <w:rFonts w:asciiTheme="minorHAnsi" w:hAnsiTheme="minorHAnsi" w:cstheme="minorHAnsi"/>
                <w:szCs w:val="20"/>
              </w:rPr>
              <w:t>100</w:t>
            </w:r>
            <w:proofErr w:type="gramEnd"/>
            <w:r w:rsidRPr="006D73B0">
              <w:rPr>
                <w:rFonts w:asciiTheme="minorHAnsi" w:hAnsiTheme="minorHAnsi" w:cstheme="minorHAnsi"/>
                <w:szCs w:val="20"/>
              </w:rPr>
              <w:t xml:space="preserve"> (introductory computational strategies)</w:t>
            </w:r>
          </w:p>
          <w:p w14:paraId="72520A42" w14:textId="00DBDAD3" w:rsidR="006D73B0" w:rsidRPr="006D73B0" w:rsidRDefault="006D73B0" w:rsidP="006D73B0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</w:p>
          <w:p w14:paraId="25C83A0B" w14:textId="2A4348F1" w:rsidR="000F7419" w:rsidRPr="006D73B0" w:rsidRDefault="000F7419" w:rsidP="000F7419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 xml:space="preserve">curricular </w:t>
            </w:r>
            <w:r w:rsidR="00BD316A" w:rsidRPr="006D73B0">
              <w:rPr>
                <w:rFonts w:cstheme="minorHAnsi"/>
                <w:sz w:val="20"/>
                <w:szCs w:val="20"/>
              </w:rPr>
              <w:t>competencies</w:t>
            </w:r>
          </w:p>
          <w:p w14:paraId="7AD96FB5" w14:textId="77777777" w:rsidR="000F7419" w:rsidRPr="006D73B0" w:rsidRDefault="000F7419" w:rsidP="000F741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6D73B0">
              <w:rPr>
                <w:rFonts w:asciiTheme="minorHAnsi" w:hAnsiTheme="minorHAnsi" w:cstheme="minorHAnsi"/>
                <w:szCs w:val="20"/>
              </w:rPr>
              <w:t>Develop </w:t>
            </w:r>
            <w:hyperlink r:id="rId10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mental</w:t>
              </w:r>
              <w:proofErr w:type="spellEnd"/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 xml:space="preserve"> math strategies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and abilities to make sense of quantities</w:t>
            </w:r>
          </w:p>
          <w:p w14:paraId="029F6FF7" w14:textId="77777777" w:rsidR="000F7419" w:rsidRPr="006D73B0" w:rsidRDefault="000F7419" w:rsidP="000F741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Use </w:t>
            </w:r>
            <w:hyperlink r:id="rId11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technology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to explore mathematics</w:t>
            </w:r>
          </w:p>
          <w:p w14:paraId="3996F7ED" w14:textId="77777777" w:rsidR="000F7419" w:rsidRPr="006D73B0" w:rsidRDefault="004200E7" w:rsidP="000F741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hyperlink r:id="rId12" w:history="1">
              <w:r w:rsidR="000F7419"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Model</w:t>
              </w:r>
            </w:hyperlink>
            <w:r w:rsidR="000F7419" w:rsidRPr="006D73B0">
              <w:rPr>
                <w:rFonts w:asciiTheme="minorHAnsi" w:hAnsiTheme="minorHAnsi" w:cstheme="minorHAnsi"/>
                <w:szCs w:val="20"/>
              </w:rPr>
              <w:t> mathematics in contextualized experiences</w:t>
            </w:r>
          </w:p>
          <w:p w14:paraId="27B79EC5" w14:textId="77777777" w:rsidR="00BD316A" w:rsidRPr="006D73B0" w:rsidRDefault="00BD316A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Visualize to explore mathematical concepts</w:t>
            </w:r>
          </w:p>
          <w:p w14:paraId="1CE9CC6E" w14:textId="77777777" w:rsidR="00BD316A" w:rsidRPr="006D73B0" w:rsidRDefault="004200E7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hyperlink r:id="rId13" w:history="1">
              <w:r w:rsidR="00BD316A"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Communicate</w:t>
              </w:r>
            </w:hyperlink>
            <w:r w:rsidR="00BD316A" w:rsidRPr="006D73B0">
              <w:rPr>
                <w:rFonts w:asciiTheme="minorHAnsi" w:hAnsiTheme="minorHAnsi" w:cstheme="minorHAnsi"/>
                <w:szCs w:val="20"/>
              </w:rPr>
              <w:t> mathematical thinking in many ways</w:t>
            </w:r>
          </w:p>
          <w:p w14:paraId="50546702" w14:textId="77777777" w:rsidR="00BD316A" w:rsidRPr="006D73B0" w:rsidRDefault="00BD316A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Use mathematical vocabulary and language to contribute to mathematical discussions</w:t>
            </w:r>
          </w:p>
          <w:p w14:paraId="5100A9C4" w14:textId="77777777" w:rsidR="00BD316A" w:rsidRPr="006D73B0" w:rsidRDefault="004200E7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hyperlink r:id="rId14" w:history="1">
              <w:r w:rsidR="00BD316A"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Explain and justify</w:t>
              </w:r>
            </w:hyperlink>
            <w:r w:rsidR="00BD316A" w:rsidRPr="006D73B0">
              <w:rPr>
                <w:rFonts w:asciiTheme="minorHAnsi" w:hAnsiTheme="minorHAnsi" w:cstheme="minorHAnsi"/>
                <w:szCs w:val="20"/>
              </w:rPr>
              <w:t> mathematical ideas and decisions</w:t>
            </w:r>
          </w:p>
          <w:p w14:paraId="0FD467B6" w14:textId="13CA3BE6" w:rsidR="00680564" w:rsidRPr="006146DA" w:rsidRDefault="00BD316A" w:rsidP="0086725F">
            <w:pPr>
              <w:pStyle w:val="ListParagraph"/>
              <w:widowControl w:val="0"/>
              <w:numPr>
                <w:ilvl w:val="0"/>
                <w:numId w:val="1"/>
              </w:numPr>
            </w:pPr>
            <w:r w:rsidRPr="006D73B0">
              <w:rPr>
                <w:rFonts w:asciiTheme="minorHAnsi" w:hAnsiTheme="minorHAnsi" w:cstheme="minorHAnsi"/>
                <w:szCs w:val="20"/>
              </w:rPr>
              <w:t>Represent mathematical ideas in </w:t>
            </w:r>
            <w:hyperlink r:id="rId15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concrete, pictorial, and symbolic forms</w:t>
              </w:r>
            </w:hyperlink>
          </w:p>
        </w:tc>
      </w:tr>
      <w:tr w:rsidR="00680564" w:rsidRPr="006146DA" w14:paraId="6C91EEA4" w14:textId="77777777" w:rsidTr="0086725F"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59B1" w14:textId="77777777" w:rsidR="00680564" w:rsidRPr="006146DA" w:rsidRDefault="00680564" w:rsidP="0086725F">
            <w:pPr>
              <w:rPr>
                <w:b/>
              </w:rPr>
            </w:pPr>
            <w:r w:rsidRPr="006146DA">
              <w:rPr>
                <w:b/>
              </w:rPr>
              <w:t>Curriculum Content (Technology):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E24E" w14:textId="77777777" w:rsidR="00680564" w:rsidRPr="006D73B0" w:rsidRDefault="00BD316A" w:rsidP="0086725F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 xml:space="preserve">The choice of technology and tools depends on the task. </w:t>
            </w:r>
            <w:proofErr w:type="gramStart"/>
            <w:r w:rsidRPr="006D73B0">
              <w:rPr>
                <w:rFonts w:cstheme="minorHAnsi"/>
                <w:sz w:val="20"/>
                <w:szCs w:val="20"/>
              </w:rPr>
              <w:t>( big</w:t>
            </w:r>
            <w:proofErr w:type="gramEnd"/>
            <w:r w:rsidRPr="006D73B0">
              <w:rPr>
                <w:rFonts w:cstheme="minorHAnsi"/>
                <w:sz w:val="20"/>
                <w:szCs w:val="20"/>
              </w:rPr>
              <w:t xml:space="preserve"> idea)</w:t>
            </w:r>
          </w:p>
          <w:p w14:paraId="39D1E977" w14:textId="6939E561" w:rsidR="00BD316A" w:rsidRPr="006D73B0" w:rsidRDefault="00BD316A" w:rsidP="0086725F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>Curricular competencies</w:t>
            </w:r>
          </w:p>
          <w:p w14:paraId="701781B1" w14:textId="77777777" w:rsidR="00BD316A" w:rsidRPr="006D73B0" w:rsidRDefault="00BD316A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6D73B0">
              <w:rPr>
                <w:rFonts w:asciiTheme="minorHAnsi" w:hAnsiTheme="minorHAnsi" w:cstheme="minorHAnsi"/>
                <w:szCs w:val="20"/>
              </w:rPr>
              <w:t>Identify</w:t>
            </w:r>
            <w:proofErr w:type="gramEnd"/>
            <w:r w:rsidRPr="006D73B0">
              <w:rPr>
                <w:rFonts w:asciiTheme="minorHAnsi" w:hAnsiTheme="minorHAnsi" w:cstheme="minorHAnsi"/>
                <w:szCs w:val="20"/>
              </w:rPr>
              <w:t xml:space="preserve"> the skills required for a task and develop those skills as needed</w:t>
            </w:r>
          </w:p>
          <w:p w14:paraId="11F00D35" w14:textId="77777777" w:rsidR="00BD316A" w:rsidRPr="006D73B0" w:rsidRDefault="00BD316A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 xml:space="preserve">Use familiar tools and technologies to extend their capabilities when </w:t>
            </w:r>
            <w:r w:rsidRPr="006D73B0">
              <w:rPr>
                <w:rFonts w:asciiTheme="minorHAnsi" w:hAnsiTheme="minorHAnsi" w:cstheme="minorHAnsi"/>
                <w:szCs w:val="20"/>
              </w:rPr>
              <w:lastRenderedPageBreak/>
              <w:t>completing a task</w:t>
            </w:r>
          </w:p>
          <w:p w14:paraId="4137661F" w14:textId="77777777" w:rsidR="00BD316A" w:rsidRPr="006D73B0" w:rsidRDefault="00BD316A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 xml:space="preserve">Choose </w:t>
            </w:r>
            <w:proofErr w:type="gramStart"/>
            <w:r w:rsidRPr="006D73B0">
              <w:rPr>
                <w:rFonts w:asciiTheme="minorHAnsi" w:hAnsiTheme="minorHAnsi" w:cstheme="minorHAnsi"/>
                <w:szCs w:val="20"/>
              </w:rPr>
              <w:t>appropriate technologies</w:t>
            </w:r>
            <w:proofErr w:type="gramEnd"/>
            <w:r w:rsidRPr="006D73B0">
              <w:rPr>
                <w:rFonts w:asciiTheme="minorHAnsi" w:hAnsiTheme="minorHAnsi" w:cstheme="minorHAnsi"/>
                <w:szCs w:val="20"/>
              </w:rPr>
              <w:t xml:space="preserve"> to use for specific tasks </w:t>
            </w:r>
          </w:p>
          <w:p w14:paraId="5B47CD0A" w14:textId="741EF8E4" w:rsidR="00BD316A" w:rsidRPr="006D73B0" w:rsidRDefault="00BD316A" w:rsidP="00BD316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 xml:space="preserve">Demonstrate a willingness to learn </w:t>
            </w:r>
            <w:proofErr w:type="gramStart"/>
            <w:r w:rsidRPr="006D73B0">
              <w:rPr>
                <w:rFonts w:asciiTheme="minorHAnsi" w:hAnsiTheme="minorHAnsi" w:cstheme="minorHAnsi"/>
                <w:szCs w:val="20"/>
              </w:rPr>
              <w:t>new technologies</w:t>
            </w:r>
            <w:proofErr w:type="gramEnd"/>
            <w:r w:rsidRPr="006D73B0">
              <w:rPr>
                <w:rFonts w:asciiTheme="minorHAnsi" w:hAnsiTheme="minorHAnsi" w:cstheme="minorHAnsi"/>
                <w:szCs w:val="20"/>
              </w:rPr>
              <w:t xml:space="preserve"> as needed</w:t>
            </w:r>
          </w:p>
        </w:tc>
      </w:tr>
      <w:tr w:rsidR="00680564" w:rsidRPr="006146DA" w14:paraId="5F4B6BF1" w14:textId="77777777" w:rsidTr="0086725F"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0D01" w14:textId="77777777" w:rsidR="00680564" w:rsidRPr="006146DA" w:rsidRDefault="00680564" w:rsidP="0086725F">
            <w:pPr>
              <w:rPr>
                <w:b/>
              </w:rPr>
            </w:pPr>
            <w:r w:rsidRPr="006146DA">
              <w:rPr>
                <w:b/>
              </w:rPr>
              <w:lastRenderedPageBreak/>
              <w:t>Level on SAMR Model: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A9EB" w14:textId="4C6A1455" w:rsidR="00680564" w:rsidRPr="006146DA" w:rsidRDefault="00F32B4D" w:rsidP="0086725F">
            <w:pPr>
              <w:widowControl w:val="0"/>
              <w:spacing w:line="240" w:lineRule="auto"/>
            </w:pPr>
            <w:r>
              <w:t xml:space="preserve">Substitution </w:t>
            </w:r>
          </w:p>
        </w:tc>
      </w:tr>
    </w:tbl>
    <w:p w14:paraId="6B78F901" w14:textId="77777777" w:rsidR="00680564" w:rsidRPr="006146DA" w:rsidRDefault="00680564" w:rsidP="00680564">
      <w:pPr>
        <w:rPr>
          <w:b/>
        </w:rPr>
      </w:pPr>
    </w:p>
    <w:p w14:paraId="5878770B" w14:textId="1733A7EF" w:rsidR="00BD316A" w:rsidRDefault="00680564" w:rsidP="00BD31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b/>
        </w:rPr>
      </w:pPr>
      <w:r w:rsidRPr="006146DA">
        <w:rPr>
          <w:b/>
        </w:rPr>
        <w:t xml:space="preserve">  Description of Original Activity (point-form or sentences):</w:t>
      </w:r>
    </w:p>
    <w:p w14:paraId="33BE4481" w14:textId="6031670D" w:rsidR="006D73B0" w:rsidRPr="006D73B0" w:rsidRDefault="006D73B0" w:rsidP="00BD31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142" w:hanging="142"/>
        <w:rPr>
          <w:bCs/>
        </w:rPr>
      </w:pPr>
      <w:r>
        <w:rPr>
          <w:bCs/>
        </w:rPr>
        <w:t xml:space="preserve">In the original activity students would </w:t>
      </w:r>
      <w:proofErr w:type="gramStart"/>
      <w:r>
        <w:rPr>
          <w:bCs/>
        </w:rPr>
        <w:t>represent</w:t>
      </w:r>
      <w:proofErr w:type="gramEnd"/>
      <w:r>
        <w:rPr>
          <w:bCs/>
        </w:rPr>
        <w:t xml:space="preserve"> multiplication using at least three of the six strategies taught and practiced in class</w:t>
      </w:r>
      <w:r w:rsidR="00F32B4D">
        <w:rPr>
          <w:bCs/>
        </w:rPr>
        <w:t>. Students would then take pictures of their work and upload the images to My Blueprint.</w:t>
      </w:r>
    </w:p>
    <w:p w14:paraId="0A37FF60" w14:textId="77777777" w:rsidR="00680564" w:rsidRPr="006146DA" w:rsidRDefault="00680564" w:rsidP="00680564"/>
    <w:p w14:paraId="214CB216" w14:textId="77777777" w:rsidR="00680564" w:rsidRPr="006146DA" w:rsidRDefault="00680564" w:rsidP="00680564">
      <w:r w:rsidRPr="0058531A">
        <w:rPr>
          <w:b/>
        </w:rPr>
        <w:t>PART 2:</w:t>
      </w:r>
      <w:r w:rsidRPr="006146DA">
        <w:rPr>
          <w:b/>
        </w:rPr>
        <w:t xml:space="preserve">  </w:t>
      </w:r>
      <w:r w:rsidRPr="006146DA">
        <w:t>Now re-create part of the lesson (from Part 1) to reflect a change on the SAMR Model:</w:t>
      </w:r>
    </w:p>
    <w:tbl>
      <w:tblPr>
        <w:tblW w:w="94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750"/>
      </w:tblGrid>
      <w:tr w:rsidR="00F32B4D" w:rsidRPr="006146DA" w14:paraId="2ABEC6B1" w14:textId="77777777" w:rsidTr="0086725F"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AFEA" w14:textId="77777777" w:rsidR="00F32B4D" w:rsidRPr="006146DA" w:rsidRDefault="00F32B4D" w:rsidP="00F32B4D">
            <w:pPr>
              <w:rPr>
                <w:b/>
              </w:rPr>
            </w:pPr>
            <w:r w:rsidRPr="006146DA">
              <w:rPr>
                <w:b/>
              </w:rPr>
              <w:t>Curriculum Content (Mathematics):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77CC" w14:textId="77777777" w:rsidR="00F32B4D" w:rsidRPr="006D73B0" w:rsidRDefault="00F32B4D" w:rsidP="00F32B4D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>Big Idea:</w:t>
            </w:r>
          </w:p>
          <w:p w14:paraId="0E31B6E9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Development of computational </w:t>
            </w:r>
            <w:hyperlink r:id="rId16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fluency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and multiplicative thinking requires analysis of patterns and relations in multiplication and division.</w:t>
            </w:r>
          </w:p>
          <w:p w14:paraId="2442CE68" w14:textId="77777777" w:rsidR="00F32B4D" w:rsidRPr="006D73B0" w:rsidRDefault="00F32B4D" w:rsidP="00F32B4D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1F52361" w14:textId="77777777" w:rsidR="00F32B4D" w:rsidRPr="006D73B0" w:rsidRDefault="00F32B4D" w:rsidP="00F32B4D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>Curricular Content</w:t>
            </w:r>
          </w:p>
          <w:p w14:paraId="245B118A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multiplication and division </w:t>
            </w:r>
            <w:hyperlink r:id="rId17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facts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 xml:space="preserve"> to </w:t>
            </w:r>
            <w:proofErr w:type="gramStart"/>
            <w:r w:rsidRPr="006D73B0">
              <w:rPr>
                <w:rFonts w:asciiTheme="minorHAnsi" w:hAnsiTheme="minorHAnsi" w:cstheme="minorHAnsi"/>
                <w:szCs w:val="20"/>
              </w:rPr>
              <w:t>100</w:t>
            </w:r>
            <w:proofErr w:type="gramEnd"/>
            <w:r w:rsidRPr="006D73B0">
              <w:rPr>
                <w:rFonts w:asciiTheme="minorHAnsi" w:hAnsiTheme="minorHAnsi" w:cstheme="minorHAnsi"/>
                <w:szCs w:val="20"/>
              </w:rPr>
              <w:t xml:space="preserve"> (introductory computational strategies)</w:t>
            </w:r>
          </w:p>
          <w:p w14:paraId="54BC91AE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</w:p>
          <w:p w14:paraId="612DA30A" w14:textId="77777777" w:rsidR="00F32B4D" w:rsidRPr="006D73B0" w:rsidRDefault="00F32B4D" w:rsidP="00F32B4D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>curricular competencies</w:t>
            </w:r>
          </w:p>
          <w:p w14:paraId="2ED4A6E0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6D73B0">
              <w:rPr>
                <w:rFonts w:asciiTheme="minorHAnsi" w:hAnsiTheme="minorHAnsi" w:cstheme="minorHAnsi"/>
                <w:szCs w:val="20"/>
              </w:rPr>
              <w:t>Develop </w:t>
            </w:r>
            <w:hyperlink r:id="rId18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mental</w:t>
              </w:r>
              <w:proofErr w:type="spellEnd"/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 xml:space="preserve"> math strategies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and abilities to make sense of quantities</w:t>
            </w:r>
          </w:p>
          <w:p w14:paraId="2F12BCF6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Use </w:t>
            </w:r>
            <w:hyperlink r:id="rId19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technology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to explore mathematics</w:t>
            </w:r>
          </w:p>
          <w:p w14:paraId="7CE7FE2F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hyperlink r:id="rId20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Model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mathematics in contextualized experiences</w:t>
            </w:r>
          </w:p>
          <w:p w14:paraId="6B0F4297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Visualize to explore mathematical concepts</w:t>
            </w:r>
          </w:p>
          <w:p w14:paraId="437A7BE3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hyperlink r:id="rId21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Communicate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mathematical thinking in many ways</w:t>
            </w:r>
          </w:p>
          <w:p w14:paraId="4CEF95FF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Use mathematical vocabulary and language to contribute to mathematical discussions</w:t>
            </w:r>
          </w:p>
          <w:p w14:paraId="1E5A2C02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hyperlink r:id="rId22" w:history="1">
              <w:r w:rsidRPr="006D73B0">
                <w:rPr>
                  <w:rStyle w:val="Hyperlink"/>
                  <w:rFonts w:asciiTheme="minorHAnsi" w:hAnsiTheme="minorHAnsi" w:cstheme="minorHAnsi"/>
                  <w:szCs w:val="20"/>
                </w:rPr>
                <w:t>Explain and justify</w:t>
              </w:r>
            </w:hyperlink>
            <w:r w:rsidRPr="006D73B0">
              <w:rPr>
                <w:rFonts w:asciiTheme="minorHAnsi" w:hAnsiTheme="minorHAnsi" w:cstheme="minorHAnsi"/>
                <w:szCs w:val="20"/>
              </w:rPr>
              <w:t> mathematical ideas and decisions</w:t>
            </w:r>
          </w:p>
          <w:p w14:paraId="63616724" w14:textId="04571070" w:rsidR="00F32B4D" w:rsidRPr="006146DA" w:rsidRDefault="00F32B4D" w:rsidP="00F32B4D">
            <w:pPr>
              <w:widowControl w:val="0"/>
              <w:spacing w:line="240" w:lineRule="auto"/>
              <w:rPr>
                <w:i/>
              </w:rPr>
            </w:pPr>
            <w:r w:rsidRPr="006D73B0">
              <w:rPr>
                <w:rFonts w:cstheme="minorHAnsi"/>
                <w:sz w:val="20"/>
                <w:szCs w:val="20"/>
              </w:rPr>
              <w:t>Represent mathematical ideas in </w:t>
            </w:r>
            <w:hyperlink r:id="rId23" w:history="1">
              <w:r w:rsidRPr="006D73B0">
                <w:rPr>
                  <w:rStyle w:val="Hyperlink"/>
                  <w:rFonts w:cstheme="minorHAnsi"/>
                  <w:sz w:val="20"/>
                  <w:szCs w:val="20"/>
                </w:rPr>
                <w:t>concrete, pictorial, and symbolic forms</w:t>
              </w:r>
            </w:hyperlink>
          </w:p>
        </w:tc>
      </w:tr>
      <w:tr w:rsidR="00F32B4D" w:rsidRPr="006146DA" w14:paraId="23CF7321" w14:textId="77777777" w:rsidTr="0086725F"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3C61" w14:textId="77777777" w:rsidR="00F32B4D" w:rsidRPr="006146DA" w:rsidRDefault="00F32B4D" w:rsidP="00F32B4D">
            <w:pPr>
              <w:rPr>
                <w:b/>
              </w:rPr>
            </w:pPr>
            <w:r w:rsidRPr="006146DA">
              <w:rPr>
                <w:b/>
              </w:rPr>
              <w:lastRenderedPageBreak/>
              <w:t>Curriculum Content (Technology):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A42E" w14:textId="77777777" w:rsidR="00F32B4D" w:rsidRPr="006D73B0" w:rsidRDefault="00F32B4D" w:rsidP="00F32B4D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 xml:space="preserve">The choice of technology and tools depends on the task. </w:t>
            </w:r>
            <w:proofErr w:type="gramStart"/>
            <w:r w:rsidRPr="006D73B0">
              <w:rPr>
                <w:rFonts w:cstheme="minorHAnsi"/>
                <w:sz w:val="20"/>
                <w:szCs w:val="20"/>
              </w:rPr>
              <w:t>( big</w:t>
            </w:r>
            <w:proofErr w:type="gramEnd"/>
            <w:r w:rsidRPr="006D73B0">
              <w:rPr>
                <w:rFonts w:cstheme="minorHAnsi"/>
                <w:sz w:val="20"/>
                <w:szCs w:val="20"/>
              </w:rPr>
              <w:t xml:space="preserve"> idea)</w:t>
            </w:r>
          </w:p>
          <w:p w14:paraId="2A415F5D" w14:textId="77777777" w:rsidR="00F32B4D" w:rsidRPr="006D73B0" w:rsidRDefault="00F32B4D" w:rsidP="00F32B4D">
            <w:pPr>
              <w:widowControl w:val="0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D73B0">
              <w:rPr>
                <w:rFonts w:cstheme="minorHAnsi"/>
                <w:sz w:val="20"/>
                <w:szCs w:val="20"/>
              </w:rPr>
              <w:t>Curricular competencies</w:t>
            </w:r>
          </w:p>
          <w:p w14:paraId="28F446EE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6D73B0">
              <w:rPr>
                <w:rFonts w:asciiTheme="minorHAnsi" w:hAnsiTheme="minorHAnsi" w:cstheme="minorHAnsi"/>
                <w:szCs w:val="20"/>
              </w:rPr>
              <w:t>Identify</w:t>
            </w:r>
            <w:proofErr w:type="gramEnd"/>
            <w:r w:rsidRPr="006D73B0">
              <w:rPr>
                <w:rFonts w:asciiTheme="minorHAnsi" w:hAnsiTheme="minorHAnsi" w:cstheme="minorHAnsi"/>
                <w:szCs w:val="20"/>
              </w:rPr>
              <w:t xml:space="preserve"> the skills required for a task and develop those skills as needed</w:t>
            </w:r>
          </w:p>
          <w:p w14:paraId="3E51F1A0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>Use familiar tools and technologies to extend their capabilities when completing a task</w:t>
            </w:r>
          </w:p>
          <w:p w14:paraId="68AF66CE" w14:textId="77777777" w:rsidR="00F32B4D" w:rsidRPr="006D73B0" w:rsidRDefault="00F32B4D" w:rsidP="00F32B4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</w:rPr>
            </w:pPr>
            <w:r w:rsidRPr="006D73B0">
              <w:rPr>
                <w:rFonts w:asciiTheme="minorHAnsi" w:hAnsiTheme="minorHAnsi" w:cstheme="minorHAnsi"/>
                <w:szCs w:val="20"/>
              </w:rPr>
              <w:t xml:space="preserve">Choose </w:t>
            </w:r>
            <w:proofErr w:type="gramStart"/>
            <w:r w:rsidRPr="006D73B0">
              <w:rPr>
                <w:rFonts w:asciiTheme="minorHAnsi" w:hAnsiTheme="minorHAnsi" w:cstheme="minorHAnsi"/>
                <w:szCs w:val="20"/>
              </w:rPr>
              <w:t>appropriate technologies</w:t>
            </w:r>
            <w:proofErr w:type="gramEnd"/>
            <w:r w:rsidRPr="006D73B0">
              <w:rPr>
                <w:rFonts w:asciiTheme="minorHAnsi" w:hAnsiTheme="minorHAnsi" w:cstheme="minorHAnsi"/>
                <w:szCs w:val="20"/>
              </w:rPr>
              <w:t xml:space="preserve"> to use for specific tasks </w:t>
            </w:r>
          </w:p>
          <w:p w14:paraId="6FEE4B66" w14:textId="2C07EB51" w:rsidR="00F32B4D" w:rsidRPr="006146DA" w:rsidRDefault="00F32B4D" w:rsidP="00F32B4D">
            <w:pPr>
              <w:widowControl w:val="0"/>
              <w:spacing w:line="240" w:lineRule="auto"/>
            </w:pPr>
            <w:r w:rsidRPr="006D73B0">
              <w:rPr>
                <w:rFonts w:cstheme="minorHAnsi"/>
                <w:sz w:val="20"/>
                <w:szCs w:val="20"/>
              </w:rPr>
              <w:t xml:space="preserve">Demonstrate a willingness to learn </w:t>
            </w:r>
            <w:proofErr w:type="gramStart"/>
            <w:r w:rsidRPr="006D73B0">
              <w:rPr>
                <w:rFonts w:cstheme="minorHAnsi"/>
                <w:sz w:val="20"/>
                <w:szCs w:val="20"/>
              </w:rPr>
              <w:t>new technologies</w:t>
            </w:r>
            <w:proofErr w:type="gramEnd"/>
            <w:r w:rsidRPr="006D73B0">
              <w:rPr>
                <w:rFonts w:cstheme="minorHAnsi"/>
                <w:sz w:val="20"/>
                <w:szCs w:val="20"/>
              </w:rPr>
              <w:t xml:space="preserve"> as needed</w:t>
            </w:r>
          </w:p>
        </w:tc>
      </w:tr>
      <w:tr w:rsidR="00F32B4D" w:rsidRPr="006146DA" w14:paraId="5E4A8599" w14:textId="77777777" w:rsidTr="0086725F"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8231" w14:textId="77777777" w:rsidR="00F32B4D" w:rsidRPr="006146DA" w:rsidRDefault="00F32B4D" w:rsidP="00F32B4D">
            <w:pPr>
              <w:rPr>
                <w:b/>
              </w:rPr>
            </w:pPr>
            <w:r w:rsidRPr="00FC7931">
              <w:rPr>
                <w:b/>
              </w:rPr>
              <w:t>NEW</w:t>
            </w:r>
            <w:r w:rsidRPr="006146DA">
              <w:rPr>
                <w:b/>
                <w:color w:val="FF0000"/>
              </w:rPr>
              <w:t xml:space="preserve"> </w:t>
            </w:r>
            <w:r w:rsidRPr="006146DA">
              <w:rPr>
                <w:b/>
              </w:rPr>
              <w:t>Level on SAMR:</w:t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7D66" w14:textId="178CF855" w:rsidR="00F32B4D" w:rsidRPr="006146DA" w:rsidRDefault="00F32B4D" w:rsidP="00F32B4D">
            <w:pPr>
              <w:widowControl w:val="0"/>
              <w:spacing w:line="240" w:lineRule="auto"/>
            </w:pPr>
            <w:r>
              <w:t>Modification</w:t>
            </w:r>
          </w:p>
        </w:tc>
      </w:tr>
    </w:tbl>
    <w:p w14:paraId="6BF42CB9" w14:textId="77777777" w:rsidR="00680564" w:rsidRPr="006146DA" w:rsidRDefault="00680564" w:rsidP="00680564">
      <w:pPr>
        <w:rPr>
          <w:b/>
        </w:rPr>
      </w:pPr>
    </w:p>
    <w:p w14:paraId="1164B5DD" w14:textId="77777777" w:rsidR="00680564" w:rsidRPr="006146DA" w:rsidRDefault="00680564" w:rsidP="006805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6146DA">
        <w:rPr>
          <w:b/>
        </w:rPr>
        <w:t xml:space="preserve">Description of </w:t>
      </w:r>
      <w:r w:rsidRPr="00FC7931">
        <w:rPr>
          <w:b/>
        </w:rPr>
        <w:t>New</w:t>
      </w:r>
      <w:r w:rsidRPr="006146DA">
        <w:rPr>
          <w:b/>
          <w:color w:val="FF0000"/>
        </w:rPr>
        <w:t xml:space="preserve"> </w:t>
      </w:r>
      <w:r w:rsidRPr="006146DA">
        <w:rPr>
          <w:b/>
        </w:rPr>
        <w:t>Activity (point-form or sentences):</w:t>
      </w:r>
    </w:p>
    <w:p w14:paraId="3D3B04D6" w14:textId="5AAF81EF" w:rsidR="00680564" w:rsidRPr="004357CA" w:rsidRDefault="00F32B4D" w:rsidP="006805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 w:rsidRPr="00F32B4D">
        <w:rPr>
          <w:bCs/>
        </w:rPr>
        <w:t>Students will</w:t>
      </w:r>
      <w:r w:rsidR="00D21279">
        <w:rPr>
          <w:bCs/>
        </w:rPr>
        <w:t xml:space="preserve"> create instructional videos for other students </w:t>
      </w:r>
      <w:r w:rsidR="00DF114A">
        <w:rPr>
          <w:bCs/>
        </w:rPr>
        <w:t>using clips on the iPads to explain how to use four different strategies to solve multiplication problems.</w:t>
      </w:r>
      <w:r w:rsidR="00D21279">
        <w:rPr>
          <w:bCs/>
        </w:rPr>
        <w:t xml:space="preserve"> </w:t>
      </w:r>
      <w:r w:rsidR="00DF114A">
        <w:rPr>
          <w:bCs/>
        </w:rPr>
        <w:t xml:space="preserve">Students will share their videos on </w:t>
      </w:r>
      <w:r w:rsidR="004357CA">
        <w:rPr>
          <w:bCs/>
        </w:rPr>
        <w:t xml:space="preserve">the math channel in our class team </w:t>
      </w:r>
      <w:r w:rsidR="00DF114A">
        <w:rPr>
          <w:bCs/>
        </w:rPr>
        <w:t>as well as posting them to their My Blueprint portfolio.</w:t>
      </w:r>
      <w:r w:rsidR="004357CA">
        <w:rPr>
          <w:bCs/>
        </w:rPr>
        <w:t xml:space="preserve"> When posting them to </w:t>
      </w:r>
      <w:proofErr w:type="gramStart"/>
      <w:r w:rsidR="004357CA">
        <w:rPr>
          <w:bCs/>
        </w:rPr>
        <w:t>teams</w:t>
      </w:r>
      <w:proofErr w:type="gramEnd"/>
      <w:r w:rsidR="004357CA">
        <w:rPr>
          <w:bCs/>
        </w:rPr>
        <w:t xml:space="preserve"> students will be able to view </w:t>
      </w:r>
      <w:proofErr w:type="spellStart"/>
      <w:r w:rsidR="004357CA">
        <w:rPr>
          <w:bCs/>
        </w:rPr>
        <w:t>each others</w:t>
      </w:r>
      <w:proofErr w:type="spellEnd"/>
      <w:r w:rsidR="004357CA">
        <w:rPr>
          <w:bCs/>
        </w:rPr>
        <w:t xml:space="preserve"> work. </w:t>
      </w:r>
    </w:p>
    <w:p w14:paraId="1C356C06" w14:textId="4220E945" w:rsidR="00680564" w:rsidRPr="006146DA" w:rsidRDefault="00680564" w:rsidP="00680564"/>
    <w:p w14:paraId="3AC5CEAC" w14:textId="77777777" w:rsidR="004357CA" w:rsidRDefault="004357CA">
      <w:pPr>
        <w:spacing w:after="0" w:line="240" w:lineRule="auto"/>
      </w:pPr>
      <w:r>
        <w:br w:type="page"/>
      </w:r>
    </w:p>
    <w:p w14:paraId="487DD355" w14:textId="1A188C29" w:rsidR="00680564" w:rsidRDefault="00AF0387" w:rsidP="00AF0387">
      <w:pPr>
        <w:jc w:val="center"/>
      </w:pPr>
      <w:r>
        <w:lastRenderedPageBreak/>
        <w:t>SAMR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55D7D" w14:paraId="1FC2B17F" w14:textId="77777777" w:rsidTr="00E0327A">
        <w:tc>
          <w:tcPr>
            <w:tcW w:w="1870" w:type="dxa"/>
            <w:shd w:val="clear" w:color="auto" w:fill="70AD47" w:themeFill="accent6"/>
          </w:tcPr>
          <w:p w14:paraId="1A59B7E9" w14:textId="150B7B24" w:rsidR="00055D7D" w:rsidRDefault="00055D7D" w:rsidP="00AF0387">
            <w:pPr>
              <w:jc w:val="center"/>
            </w:pPr>
            <w:r>
              <w:t>Class Task</w:t>
            </w:r>
          </w:p>
        </w:tc>
        <w:tc>
          <w:tcPr>
            <w:tcW w:w="1870" w:type="dxa"/>
            <w:shd w:val="clear" w:color="auto" w:fill="4472C4" w:themeFill="accent1"/>
          </w:tcPr>
          <w:p w14:paraId="7EF13165" w14:textId="3E699922" w:rsidR="00055D7D" w:rsidRDefault="00055D7D" w:rsidP="00AF0387">
            <w:pPr>
              <w:jc w:val="center"/>
            </w:pPr>
            <w:r>
              <w:t>Substitution</w:t>
            </w:r>
          </w:p>
        </w:tc>
        <w:tc>
          <w:tcPr>
            <w:tcW w:w="1870" w:type="dxa"/>
            <w:shd w:val="clear" w:color="auto" w:fill="FFC000" w:themeFill="accent4"/>
          </w:tcPr>
          <w:p w14:paraId="0600E209" w14:textId="29133F99" w:rsidR="00055D7D" w:rsidRDefault="00055D7D" w:rsidP="00AF0387">
            <w:pPr>
              <w:jc w:val="center"/>
            </w:pPr>
            <w:r>
              <w:t>Augmentation</w:t>
            </w:r>
          </w:p>
        </w:tc>
        <w:tc>
          <w:tcPr>
            <w:tcW w:w="1870" w:type="dxa"/>
            <w:shd w:val="clear" w:color="auto" w:fill="ED7D31" w:themeFill="accent2"/>
          </w:tcPr>
          <w:p w14:paraId="6AEC2DF0" w14:textId="3FA440B6" w:rsidR="00055D7D" w:rsidRDefault="00055D7D" w:rsidP="00AF0387">
            <w:pPr>
              <w:jc w:val="center"/>
            </w:pPr>
            <w:r>
              <w:t>Modification</w:t>
            </w:r>
          </w:p>
        </w:tc>
        <w:tc>
          <w:tcPr>
            <w:tcW w:w="1870" w:type="dxa"/>
            <w:shd w:val="clear" w:color="auto" w:fill="FF0000"/>
          </w:tcPr>
          <w:p w14:paraId="01AB32A6" w14:textId="15B03FA1" w:rsidR="00055D7D" w:rsidRDefault="00055D7D" w:rsidP="00AF0387">
            <w:pPr>
              <w:jc w:val="center"/>
            </w:pPr>
            <w:r>
              <w:t>Redefinition</w:t>
            </w:r>
          </w:p>
        </w:tc>
      </w:tr>
      <w:tr w:rsidR="00055D7D" w14:paraId="12893DBB" w14:textId="77777777" w:rsidTr="00055D7D">
        <w:tc>
          <w:tcPr>
            <w:tcW w:w="1870" w:type="dxa"/>
          </w:tcPr>
          <w:p w14:paraId="0B20088B" w14:textId="17D6FBBD" w:rsidR="00055D7D" w:rsidRDefault="00055D7D" w:rsidP="00AF0387">
            <w:pPr>
              <w:jc w:val="center"/>
            </w:pPr>
            <w:r>
              <w:t>Note taking</w:t>
            </w:r>
          </w:p>
        </w:tc>
        <w:tc>
          <w:tcPr>
            <w:tcW w:w="1870" w:type="dxa"/>
          </w:tcPr>
          <w:p w14:paraId="66F477D6" w14:textId="41F07A47" w:rsidR="00055D7D" w:rsidRDefault="0075207F" w:rsidP="00A8396F">
            <w:r>
              <w:t>Notes taken using IOS Notes</w:t>
            </w:r>
          </w:p>
        </w:tc>
        <w:tc>
          <w:tcPr>
            <w:tcW w:w="1870" w:type="dxa"/>
          </w:tcPr>
          <w:p w14:paraId="4BA6478D" w14:textId="08D5C75C" w:rsidR="00055D7D" w:rsidRDefault="0075207F" w:rsidP="00A8396F">
            <w:r>
              <w:t>Students choose their own notes app</w:t>
            </w:r>
          </w:p>
        </w:tc>
        <w:tc>
          <w:tcPr>
            <w:tcW w:w="1870" w:type="dxa"/>
          </w:tcPr>
          <w:p w14:paraId="4513BAE6" w14:textId="027B48C6" w:rsidR="00055D7D" w:rsidRDefault="0075207F" w:rsidP="00A8396F">
            <w:r>
              <w:t>All students use Notability for all notes</w:t>
            </w:r>
          </w:p>
        </w:tc>
        <w:tc>
          <w:tcPr>
            <w:tcW w:w="1870" w:type="dxa"/>
          </w:tcPr>
          <w:p w14:paraId="20F5D8C2" w14:textId="7D2DF229" w:rsidR="00055D7D" w:rsidRDefault="0075207F" w:rsidP="00A8396F">
            <w:r>
              <w:t>Teachers have access to all student’s notes</w:t>
            </w:r>
          </w:p>
        </w:tc>
      </w:tr>
      <w:tr w:rsidR="00055D7D" w14:paraId="2C1614B0" w14:textId="77777777" w:rsidTr="00055D7D">
        <w:tc>
          <w:tcPr>
            <w:tcW w:w="1870" w:type="dxa"/>
          </w:tcPr>
          <w:p w14:paraId="3611EBB4" w14:textId="52D0D907" w:rsidR="00055D7D" w:rsidRDefault="0075207F" w:rsidP="00AF0387">
            <w:pPr>
              <w:jc w:val="center"/>
            </w:pPr>
            <w:r>
              <w:t>Research</w:t>
            </w:r>
          </w:p>
        </w:tc>
        <w:tc>
          <w:tcPr>
            <w:tcW w:w="1870" w:type="dxa"/>
          </w:tcPr>
          <w:p w14:paraId="688C17C7" w14:textId="48FEFEF4" w:rsidR="00055D7D" w:rsidRDefault="005331FB" w:rsidP="00A8396F">
            <w:r>
              <w:t>Using Safari to copy and paste information</w:t>
            </w:r>
          </w:p>
        </w:tc>
        <w:tc>
          <w:tcPr>
            <w:tcW w:w="1870" w:type="dxa"/>
          </w:tcPr>
          <w:p w14:paraId="617920C1" w14:textId="4F441699" w:rsidR="00055D7D" w:rsidRDefault="005331FB" w:rsidP="00A8396F">
            <w:r>
              <w:t>Bookmark and share notes using the share button</w:t>
            </w:r>
          </w:p>
        </w:tc>
        <w:tc>
          <w:tcPr>
            <w:tcW w:w="1870" w:type="dxa"/>
          </w:tcPr>
          <w:p w14:paraId="7EEA88CA" w14:textId="4150C3E8" w:rsidR="00055D7D" w:rsidRDefault="005331FB" w:rsidP="00A8396F">
            <w:r>
              <w:t>Download and annotate with Notability</w:t>
            </w:r>
          </w:p>
        </w:tc>
        <w:tc>
          <w:tcPr>
            <w:tcW w:w="1870" w:type="dxa"/>
          </w:tcPr>
          <w:p w14:paraId="068EB72E" w14:textId="01E5C622" w:rsidR="00055D7D" w:rsidRDefault="005331FB" w:rsidP="00A8396F">
            <w:r>
              <w:t xml:space="preserve">Collaborative </w:t>
            </w:r>
            <w:proofErr w:type="spellStart"/>
            <w:r>
              <w:t>Mindmaps</w:t>
            </w:r>
            <w:proofErr w:type="spellEnd"/>
          </w:p>
        </w:tc>
      </w:tr>
      <w:tr w:rsidR="00055D7D" w14:paraId="3F20EB06" w14:textId="77777777" w:rsidTr="00055D7D">
        <w:tc>
          <w:tcPr>
            <w:tcW w:w="1870" w:type="dxa"/>
          </w:tcPr>
          <w:p w14:paraId="66246785" w14:textId="4816AEE6" w:rsidR="00055D7D" w:rsidRDefault="0075207F" w:rsidP="00AF0387">
            <w:pPr>
              <w:jc w:val="center"/>
            </w:pPr>
            <w:r>
              <w:t>Presentation</w:t>
            </w:r>
          </w:p>
        </w:tc>
        <w:tc>
          <w:tcPr>
            <w:tcW w:w="1870" w:type="dxa"/>
          </w:tcPr>
          <w:p w14:paraId="1DA45361" w14:textId="66B56E50" w:rsidR="00055D7D" w:rsidRDefault="005331FB" w:rsidP="00A8396F">
            <w:r>
              <w:t>Make a keynote presentation on the iPad</w:t>
            </w:r>
          </w:p>
        </w:tc>
        <w:tc>
          <w:tcPr>
            <w:tcW w:w="1870" w:type="dxa"/>
          </w:tcPr>
          <w:p w14:paraId="441F5F98" w14:textId="4765026B" w:rsidR="00055D7D" w:rsidRDefault="005331FB" w:rsidP="00A8396F">
            <w:r>
              <w:t>Demonstrate understanding with Explain Everything</w:t>
            </w:r>
          </w:p>
        </w:tc>
        <w:tc>
          <w:tcPr>
            <w:tcW w:w="1870" w:type="dxa"/>
          </w:tcPr>
          <w:p w14:paraId="02A31C45" w14:textId="7DB09336" w:rsidR="00055D7D" w:rsidRDefault="005331FB" w:rsidP="00A8396F">
            <w:r>
              <w:t>Combine audio, video, and text in Movie Presentation</w:t>
            </w:r>
          </w:p>
        </w:tc>
        <w:tc>
          <w:tcPr>
            <w:tcW w:w="1870" w:type="dxa"/>
          </w:tcPr>
          <w:p w14:paraId="46803292" w14:textId="2C2B0175" w:rsidR="00055D7D" w:rsidRDefault="005331FB" w:rsidP="00A8396F">
            <w:r>
              <w:t>Nearpod Presentation</w:t>
            </w:r>
          </w:p>
        </w:tc>
      </w:tr>
      <w:tr w:rsidR="00055D7D" w14:paraId="0AC59B92" w14:textId="77777777" w:rsidTr="00055D7D">
        <w:tc>
          <w:tcPr>
            <w:tcW w:w="1870" w:type="dxa"/>
          </w:tcPr>
          <w:p w14:paraId="6CE529CE" w14:textId="27C42AAD" w:rsidR="00055D7D" w:rsidRDefault="0075207F" w:rsidP="00AF0387">
            <w:pPr>
              <w:jc w:val="center"/>
            </w:pPr>
            <w:r>
              <w:t>File sharing</w:t>
            </w:r>
          </w:p>
        </w:tc>
        <w:tc>
          <w:tcPr>
            <w:tcW w:w="1870" w:type="dxa"/>
          </w:tcPr>
          <w:p w14:paraId="2E81C1DE" w14:textId="41F74791" w:rsidR="00055D7D" w:rsidRDefault="005331FB" w:rsidP="00A8396F">
            <w:r>
              <w:t>Sent by email every lesson</w:t>
            </w:r>
          </w:p>
        </w:tc>
        <w:tc>
          <w:tcPr>
            <w:tcW w:w="1870" w:type="dxa"/>
          </w:tcPr>
          <w:p w14:paraId="42F72935" w14:textId="160F689C" w:rsidR="00055D7D" w:rsidRDefault="005331FB" w:rsidP="00A8396F">
            <w:r>
              <w:t>Shared Dropbox folder</w:t>
            </w:r>
          </w:p>
        </w:tc>
        <w:tc>
          <w:tcPr>
            <w:tcW w:w="1870" w:type="dxa"/>
          </w:tcPr>
          <w:p w14:paraId="1EF49BA4" w14:textId="11157236" w:rsidR="00055D7D" w:rsidRDefault="005331FB" w:rsidP="00A8396F">
            <w:r>
              <w:t>Showbie</w:t>
            </w:r>
          </w:p>
        </w:tc>
        <w:tc>
          <w:tcPr>
            <w:tcW w:w="1870" w:type="dxa"/>
          </w:tcPr>
          <w:p w14:paraId="29039DB3" w14:textId="58E1B3E6" w:rsidR="00055D7D" w:rsidRDefault="005331FB" w:rsidP="00A8396F">
            <w:r>
              <w:t>iTunes U</w:t>
            </w:r>
          </w:p>
        </w:tc>
      </w:tr>
      <w:tr w:rsidR="00055D7D" w14:paraId="7FC8B4B5" w14:textId="77777777" w:rsidTr="00055D7D">
        <w:tc>
          <w:tcPr>
            <w:tcW w:w="1870" w:type="dxa"/>
          </w:tcPr>
          <w:p w14:paraId="59EDE4B6" w14:textId="03D12424" w:rsidR="00055D7D" w:rsidRDefault="0075207F" w:rsidP="00AF0387">
            <w:pPr>
              <w:jc w:val="center"/>
            </w:pPr>
            <w:r>
              <w:t>Reading</w:t>
            </w:r>
          </w:p>
        </w:tc>
        <w:tc>
          <w:tcPr>
            <w:tcW w:w="1870" w:type="dxa"/>
          </w:tcPr>
          <w:p w14:paraId="166C0E8F" w14:textId="4A37BA40" w:rsidR="00055D7D" w:rsidRDefault="005331FB" w:rsidP="00A8396F">
            <w:r>
              <w:t>Open PDF from email</w:t>
            </w:r>
          </w:p>
        </w:tc>
        <w:tc>
          <w:tcPr>
            <w:tcW w:w="1870" w:type="dxa"/>
          </w:tcPr>
          <w:p w14:paraId="4A7741C4" w14:textId="3E13EB38" w:rsidR="00055D7D" w:rsidRDefault="005331FB" w:rsidP="00A8396F">
            <w:r>
              <w:t>Use dictionary and search document</w:t>
            </w:r>
          </w:p>
        </w:tc>
        <w:tc>
          <w:tcPr>
            <w:tcW w:w="1870" w:type="dxa"/>
          </w:tcPr>
          <w:p w14:paraId="5C22D06C" w14:textId="72A91635" w:rsidR="00055D7D" w:rsidRDefault="005331FB" w:rsidP="00A8396F">
            <w:r>
              <w:t xml:space="preserve">Annotating documents in Notability and </w:t>
            </w:r>
            <w:proofErr w:type="spellStart"/>
            <w:r>
              <w:t>iBooks</w:t>
            </w:r>
            <w:proofErr w:type="spellEnd"/>
          </w:p>
        </w:tc>
        <w:tc>
          <w:tcPr>
            <w:tcW w:w="1870" w:type="dxa"/>
          </w:tcPr>
          <w:p w14:paraId="3EA29F5E" w14:textId="31A02C63" w:rsidR="00055D7D" w:rsidRDefault="005331FB" w:rsidP="00A8396F">
            <w:r>
              <w:t xml:space="preserve">Interactive </w:t>
            </w:r>
            <w:proofErr w:type="spellStart"/>
            <w:r>
              <w:t>iBooks</w:t>
            </w:r>
            <w:proofErr w:type="spellEnd"/>
          </w:p>
        </w:tc>
      </w:tr>
      <w:tr w:rsidR="00055D7D" w14:paraId="66C92DDF" w14:textId="77777777" w:rsidTr="00055D7D">
        <w:tc>
          <w:tcPr>
            <w:tcW w:w="1870" w:type="dxa"/>
          </w:tcPr>
          <w:p w14:paraId="51C9829B" w14:textId="59793EAB" w:rsidR="00055D7D" w:rsidRDefault="0075207F" w:rsidP="00AF0387">
            <w:pPr>
              <w:jc w:val="center"/>
            </w:pPr>
            <w:r>
              <w:t>Assessment</w:t>
            </w:r>
          </w:p>
        </w:tc>
        <w:tc>
          <w:tcPr>
            <w:tcW w:w="1870" w:type="dxa"/>
          </w:tcPr>
          <w:p w14:paraId="3AA46214" w14:textId="091CB4F6" w:rsidR="00055D7D" w:rsidRDefault="005331FB" w:rsidP="00A8396F">
            <w:r>
              <w:t>Google form test</w:t>
            </w:r>
          </w:p>
        </w:tc>
        <w:tc>
          <w:tcPr>
            <w:tcW w:w="1870" w:type="dxa"/>
          </w:tcPr>
          <w:p w14:paraId="4F537713" w14:textId="00CBFB50" w:rsidR="00055D7D" w:rsidRDefault="005331FB" w:rsidP="00A8396F">
            <w:r>
              <w:t>Google form test with automatic marking script</w:t>
            </w:r>
          </w:p>
        </w:tc>
        <w:tc>
          <w:tcPr>
            <w:tcW w:w="1870" w:type="dxa"/>
          </w:tcPr>
          <w:p w14:paraId="500BFDA0" w14:textId="730DB81E" w:rsidR="00055D7D" w:rsidRDefault="005331FB" w:rsidP="00A8396F">
            <w:r>
              <w:t>Creative projects with Strip Designer</w:t>
            </w:r>
            <w:r w:rsidR="00EA75F1">
              <w:t xml:space="preserve">, </w:t>
            </w:r>
            <w:proofErr w:type="spellStart"/>
            <w:r w:rsidR="00EA75F1">
              <w:t>Showme</w:t>
            </w:r>
            <w:proofErr w:type="spellEnd"/>
            <w:r w:rsidR="00EA75F1">
              <w:t>, and iMovie</w:t>
            </w:r>
          </w:p>
        </w:tc>
        <w:tc>
          <w:tcPr>
            <w:tcW w:w="1870" w:type="dxa"/>
          </w:tcPr>
          <w:p w14:paraId="770DC846" w14:textId="132EDAF2" w:rsidR="00055D7D" w:rsidRDefault="00EA75F1" w:rsidP="00A8396F">
            <w:r>
              <w:t>Creative assignments with audio feedback in Showbie</w:t>
            </w:r>
          </w:p>
        </w:tc>
      </w:tr>
    </w:tbl>
    <w:p w14:paraId="7DB251C3" w14:textId="10CBFD41" w:rsidR="004357CA" w:rsidRDefault="004357CA" w:rsidP="00680564">
      <w:pPr>
        <w:rPr>
          <w:b/>
        </w:rPr>
      </w:pPr>
    </w:p>
    <w:p w14:paraId="7CBF70B7" w14:textId="77777777" w:rsidR="004357CA" w:rsidRDefault="004357C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01D5829" w14:textId="77777777" w:rsidR="00680564" w:rsidRPr="006146DA" w:rsidRDefault="00680564" w:rsidP="00680564">
      <w:pPr>
        <w:rPr>
          <w:b/>
        </w:rPr>
      </w:pPr>
    </w:p>
    <w:p w14:paraId="3CF7ADE9" w14:textId="77777777" w:rsidR="00680564" w:rsidRPr="006146DA" w:rsidRDefault="00680564" w:rsidP="006805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6146DA">
        <w:rPr>
          <w:b/>
        </w:rPr>
        <w:t>How did you use the SAMR model to enhance this activity? (</w:t>
      </w:r>
      <w:proofErr w:type="gramStart"/>
      <w:r w:rsidRPr="006146DA">
        <w:rPr>
          <w:b/>
        </w:rPr>
        <w:t>write</w:t>
      </w:r>
      <w:proofErr w:type="gramEnd"/>
      <w:r w:rsidRPr="006146DA">
        <w:rPr>
          <w:b/>
        </w:rPr>
        <w:t xml:space="preserve"> a short paragraph)</w:t>
      </w:r>
    </w:p>
    <w:p w14:paraId="04FC325E" w14:textId="0CDAD6F1" w:rsidR="00680564" w:rsidRPr="000540CD" w:rsidRDefault="00DF114A" w:rsidP="006805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>
        <w:rPr>
          <w:bCs/>
        </w:rPr>
        <w:t xml:space="preserve">When planning this </w:t>
      </w:r>
      <w:proofErr w:type="gramStart"/>
      <w:r>
        <w:rPr>
          <w:bCs/>
        </w:rPr>
        <w:t>activity</w:t>
      </w:r>
      <w:proofErr w:type="gramEnd"/>
      <w:r>
        <w:rPr>
          <w:bCs/>
        </w:rPr>
        <w:t xml:space="preserve"> I applied the SAMR model, </w:t>
      </w:r>
      <w:r w:rsidR="000540CD">
        <w:rPr>
          <w:bCs/>
        </w:rPr>
        <w:t>however</w:t>
      </w:r>
      <w:r>
        <w:rPr>
          <w:bCs/>
        </w:rPr>
        <w:t xml:space="preserve"> I leaned more on the PIC RAT model. I prefer the PIC RAT matrix which looks at both what students do with the technology and how the technology </w:t>
      </w:r>
      <w:proofErr w:type="gramStart"/>
      <w:r w:rsidR="00643B69">
        <w:rPr>
          <w:bCs/>
        </w:rPr>
        <w:t>being used</w:t>
      </w:r>
      <w:proofErr w:type="gramEnd"/>
      <w:r w:rsidR="00643B69">
        <w:rPr>
          <w:bCs/>
        </w:rPr>
        <w:t xml:space="preserve">. My activity is a Creative one in </w:t>
      </w:r>
      <w:r w:rsidR="000540CD">
        <w:rPr>
          <w:bCs/>
        </w:rPr>
        <w:t>that student</w:t>
      </w:r>
      <w:r w:rsidR="00643B69">
        <w:rPr>
          <w:bCs/>
        </w:rPr>
        <w:t xml:space="preserve"> are generating content and Transformative because they are using the </w:t>
      </w:r>
      <w:r w:rsidR="002F0D6F">
        <w:rPr>
          <w:bCs/>
        </w:rPr>
        <w:t>iPad</w:t>
      </w:r>
      <w:r w:rsidR="00643B69">
        <w:rPr>
          <w:bCs/>
        </w:rPr>
        <w:t xml:space="preserve"> and the clips app</w:t>
      </w:r>
      <w:r w:rsidR="002F0D6F">
        <w:rPr>
          <w:bCs/>
        </w:rPr>
        <w:t xml:space="preserve">. On the SAMR model this activity sits between a modification and a redefinition, while aspects of the task would not be possible </w:t>
      </w:r>
      <w:r w:rsidR="007377E6">
        <w:rPr>
          <w:bCs/>
        </w:rPr>
        <w:t>without</w:t>
      </w:r>
      <w:r w:rsidR="002F0D6F">
        <w:rPr>
          <w:bCs/>
        </w:rPr>
        <w:t xml:space="preserve"> the technology the idea of having students teach </w:t>
      </w:r>
      <w:r w:rsidR="000540CD">
        <w:rPr>
          <w:bCs/>
        </w:rPr>
        <w:t>each other</w:t>
      </w:r>
      <w:r w:rsidR="002F0D6F">
        <w:rPr>
          <w:bCs/>
        </w:rPr>
        <w:t xml:space="preserve"> </w:t>
      </w:r>
      <w:r w:rsidR="000540CD">
        <w:rPr>
          <w:bCs/>
        </w:rPr>
        <w:t xml:space="preserve">or explain it to someone else is not new. I am inclined to put this more firmly in the modification category because the technology does allow some improvement and using Clips allows students to record their voice as well as </w:t>
      </w:r>
      <w:proofErr w:type="gramStart"/>
      <w:r w:rsidR="000540CD">
        <w:rPr>
          <w:bCs/>
        </w:rPr>
        <w:t>demonstrate</w:t>
      </w:r>
      <w:proofErr w:type="gramEnd"/>
      <w:r w:rsidR="000540CD">
        <w:rPr>
          <w:bCs/>
        </w:rPr>
        <w:t xml:space="preserve"> their understanding visually. Using the SAMR model or PIC RAT matrix allows me to focus on what my intention behind using the technology is and if the technology is </w:t>
      </w:r>
      <w:r w:rsidR="00213EBD">
        <w:rPr>
          <w:bCs/>
        </w:rPr>
        <w:t>necessary</w:t>
      </w:r>
      <w:r w:rsidR="000540CD">
        <w:rPr>
          <w:bCs/>
        </w:rPr>
        <w:t xml:space="preserve"> for that lesson.</w:t>
      </w:r>
      <w:r w:rsidR="00213EBD">
        <w:rPr>
          <w:bCs/>
        </w:rPr>
        <w:t xml:space="preserve"> By considering what the role of technology in the lesson is I can make sure that I am using it to help my students be active learners and content creators rather than passive consumers.</w:t>
      </w:r>
      <w:r w:rsidR="004357CA">
        <w:rPr>
          <w:bCs/>
        </w:rPr>
        <w:t xml:space="preserve"> For me having my students use of technology focused on creating meaningful content and using technology to share their understanding, thoughts, </w:t>
      </w:r>
      <w:proofErr w:type="gramStart"/>
      <w:r w:rsidR="004357CA">
        <w:rPr>
          <w:bCs/>
        </w:rPr>
        <w:t>opinions</w:t>
      </w:r>
      <w:proofErr w:type="gramEnd"/>
      <w:r w:rsidR="004357CA">
        <w:rPr>
          <w:bCs/>
        </w:rPr>
        <w:t xml:space="preserve"> and knowledge is key. I would like to move this task towards redefinition and think that having students be able to collaborate digitally would be the next step, I am looking for tools that will be FOIPPA compliant and allow my students to do so.</w:t>
      </w:r>
      <w:r w:rsidR="003268AF">
        <w:rPr>
          <w:bCs/>
        </w:rPr>
        <w:t xml:space="preserve"> </w:t>
      </w:r>
    </w:p>
    <w:p w14:paraId="5A24FF89" w14:textId="77777777" w:rsidR="00680564" w:rsidRPr="006146DA" w:rsidRDefault="00680564" w:rsidP="00680564"/>
    <w:p w14:paraId="6ED99A63" w14:textId="2D04C612" w:rsidR="004357CA" w:rsidRDefault="004357CA" w:rsidP="00680564">
      <w:r w:rsidRPr="004357CA">
        <w:drawing>
          <wp:inline distT="0" distB="0" distL="0" distR="0" wp14:anchorId="53590246" wp14:editId="18B91D43">
            <wp:extent cx="3810000" cy="28575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2F6EFE" w14:textId="77A5513C" w:rsidR="004357CA" w:rsidRDefault="004357CA" w:rsidP="00680564">
      <w:sdt>
        <w:sdtPr>
          <w:id w:val="1956519104"/>
          <w:citation/>
        </w:sdtPr>
        <w:sdtContent>
          <w:r>
            <w:fldChar w:fldCharType="begin"/>
          </w:r>
          <w:r>
            <w:instrText xml:space="preserve"> CITATION Syl15 \l 4105 </w:instrText>
          </w:r>
          <w:r>
            <w:fldChar w:fldCharType="separate"/>
          </w:r>
          <w:r>
            <w:rPr>
              <w:noProof/>
            </w:rPr>
            <w:t>(Duckworth, 2015)</w:t>
          </w:r>
          <w:r>
            <w:fldChar w:fldCharType="end"/>
          </w:r>
        </w:sdtContent>
      </w:sdt>
    </w:p>
    <w:p w14:paraId="586C1E3C" w14:textId="1C2A6801" w:rsidR="00680564" w:rsidRDefault="00DF114A" w:rsidP="00680564">
      <w:r>
        <w:rPr>
          <w:noProof/>
        </w:rPr>
        <w:lastRenderedPageBreak/>
        <w:drawing>
          <wp:inline distT="0" distB="0" distL="0" distR="0" wp14:anchorId="2FC57645" wp14:editId="34BA2EDE">
            <wp:extent cx="3757188" cy="3115717"/>
            <wp:effectExtent l="0" t="0" r="254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945" cy="315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4B5EC" w14:textId="77777777" w:rsidR="004357CA" w:rsidRPr="006146DA" w:rsidRDefault="004357CA" w:rsidP="00680564"/>
    <w:p w14:paraId="46D0BA1D" w14:textId="78608F5D" w:rsidR="00680564" w:rsidRDefault="004357CA" w:rsidP="00680564">
      <w:sdt>
        <w:sdtPr>
          <w:id w:val="787009269"/>
          <w:citation/>
        </w:sdtPr>
        <w:sdtContent>
          <w:r>
            <w:fldChar w:fldCharType="begin"/>
          </w:r>
          <w:r>
            <w:instrText xml:space="preserve"> CITATION For \l 4105 </w:instrText>
          </w:r>
          <w:r>
            <w:fldChar w:fldCharType="separate"/>
          </w:r>
          <w:r>
            <w:rPr>
              <w:noProof/>
            </w:rPr>
            <w:t>(Forsyth County Schools, n.d.)</w:t>
          </w:r>
          <w:r>
            <w:fldChar w:fldCharType="end"/>
          </w:r>
        </w:sdtContent>
      </w:sdt>
    </w:p>
    <w:p w14:paraId="2B68CE29" w14:textId="6EB9B99B" w:rsidR="004357CA" w:rsidRDefault="004357CA" w:rsidP="00680564"/>
    <w:sdt>
      <w:sdtPr>
        <w:id w:val="-152246759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sdtEndPr>
      <w:sdtContent>
        <w:p w14:paraId="03025DE7" w14:textId="3C779520" w:rsidR="004357CA" w:rsidRDefault="004357CA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Content>
            <w:p w14:paraId="61E726D8" w14:textId="77777777" w:rsidR="004357CA" w:rsidRDefault="004357CA" w:rsidP="004357CA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>Duckworth, S. (2015, April 5). the SAMR Model.</w:t>
              </w:r>
            </w:p>
            <w:p w14:paraId="7BCA204E" w14:textId="77777777" w:rsidR="004357CA" w:rsidRDefault="004357CA" w:rsidP="004357CA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Forsyth County Schools. (n.d.). Retrieved from https://www.forsyth.k12.ga.us/Page/52613</w:t>
              </w:r>
            </w:p>
            <w:p w14:paraId="0CD91B72" w14:textId="759DA95F" w:rsidR="004357CA" w:rsidRDefault="004357CA" w:rsidP="004357CA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61270C8" w14:textId="77777777" w:rsidR="004357CA" w:rsidRPr="006146DA" w:rsidRDefault="004357CA" w:rsidP="00680564"/>
    <w:p w14:paraId="5080CDF7" w14:textId="77777777" w:rsidR="00680564" w:rsidRPr="006146DA" w:rsidRDefault="00680564" w:rsidP="00680564"/>
    <w:p w14:paraId="786A57FD" w14:textId="77777777" w:rsidR="00680564" w:rsidRPr="006146DA" w:rsidRDefault="00680564" w:rsidP="00680564"/>
    <w:p w14:paraId="1CBD042A" w14:textId="77777777" w:rsidR="00FA613B" w:rsidRDefault="004200E7"/>
    <w:sectPr w:rsidR="00FA613B" w:rsidSect="00D65B9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0778" w14:textId="77777777" w:rsidR="004200E7" w:rsidRDefault="004200E7" w:rsidP="006A5A92">
      <w:pPr>
        <w:spacing w:after="0" w:line="240" w:lineRule="auto"/>
      </w:pPr>
      <w:r>
        <w:separator/>
      </w:r>
    </w:p>
  </w:endnote>
  <w:endnote w:type="continuationSeparator" w:id="0">
    <w:p w14:paraId="6AEBEA4B" w14:textId="77777777" w:rsidR="004200E7" w:rsidRDefault="004200E7" w:rsidP="006A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F24C" w14:textId="77777777" w:rsidR="006A5A92" w:rsidRDefault="006A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A99B" w14:textId="77777777" w:rsidR="006A5A92" w:rsidRDefault="006A5A92">
    <w:pPr>
      <w:pStyle w:val="Footer"/>
    </w:pPr>
    <w:r>
      <w:t>© Continuing Teacher Education, Queen’s University, 2020</w:t>
    </w:r>
  </w:p>
  <w:p w14:paraId="75A4D909" w14:textId="77777777" w:rsidR="006A5A92" w:rsidRDefault="006A5A92">
    <w:pPr>
      <w:pStyle w:val="Footer"/>
    </w:pPr>
    <w:bookmarkStart w:id="0" w:name="Editing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7BF0" w14:textId="77777777" w:rsidR="006A5A92" w:rsidRDefault="006A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631C" w14:textId="77777777" w:rsidR="004200E7" w:rsidRDefault="004200E7" w:rsidP="006A5A92">
      <w:pPr>
        <w:spacing w:after="0" w:line="240" w:lineRule="auto"/>
      </w:pPr>
      <w:r>
        <w:separator/>
      </w:r>
    </w:p>
  </w:footnote>
  <w:footnote w:type="continuationSeparator" w:id="0">
    <w:p w14:paraId="3E572A12" w14:textId="77777777" w:rsidR="004200E7" w:rsidRDefault="004200E7" w:rsidP="006A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C6D8" w14:textId="77777777" w:rsidR="006A5A92" w:rsidRDefault="006A5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CB53" w14:textId="77777777" w:rsidR="006A5A92" w:rsidRDefault="006A5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E5D4" w14:textId="77777777" w:rsidR="006A5A92" w:rsidRDefault="006A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EE1"/>
    <w:multiLevelType w:val="hybridMultilevel"/>
    <w:tmpl w:val="DE16A08C"/>
    <w:lvl w:ilvl="0" w:tplc="E5DE2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292"/>
    <w:multiLevelType w:val="hybridMultilevel"/>
    <w:tmpl w:val="C83E971C"/>
    <w:lvl w:ilvl="0" w:tplc="0C28C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7A9B"/>
    <w:multiLevelType w:val="hybridMultilevel"/>
    <w:tmpl w:val="3DA2BF30"/>
    <w:lvl w:ilvl="0" w:tplc="C0BA4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64"/>
    <w:rsid w:val="000540CD"/>
    <w:rsid w:val="00055D7D"/>
    <w:rsid w:val="000F7419"/>
    <w:rsid w:val="00213EBD"/>
    <w:rsid w:val="002F0D6F"/>
    <w:rsid w:val="00323412"/>
    <w:rsid w:val="003268AF"/>
    <w:rsid w:val="004200E7"/>
    <w:rsid w:val="004357CA"/>
    <w:rsid w:val="005331FB"/>
    <w:rsid w:val="0054611C"/>
    <w:rsid w:val="0058531A"/>
    <w:rsid w:val="0059166A"/>
    <w:rsid w:val="00643B69"/>
    <w:rsid w:val="00680564"/>
    <w:rsid w:val="006A5A92"/>
    <w:rsid w:val="006A5DB0"/>
    <w:rsid w:val="006D10A9"/>
    <w:rsid w:val="006D73B0"/>
    <w:rsid w:val="007377E6"/>
    <w:rsid w:val="0075207F"/>
    <w:rsid w:val="009E550D"/>
    <w:rsid w:val="00A8396F"/>
    <w:rsid w:val="00AC0E88"/>
    <w:rsid w:val="00AF0387"/>
    <w:rsid w:val="00BD316A"/>
    <w:rsid w:val="00BE30C0"/>
    <w:rsid w:val="00D21279"/>
    <w:rsid w:val="00D65B9C"/>
    <w:rsid w:val="00DF114A"/>
    <w:rsid w:val="00E0327A"/>
    <w:rsid w:val="00EA75F1"/>
    <w:rsid w:val="00F32B4D"/>
    <w:rsid w:val="00F3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E66A"/>
  <w14:defaultImageDpi w14:val="32767"/>
  <w15:chartTrackingRefBased/>
  <w15:docId w15:val="{7DE9983C-1E4F-A646-8155-505B88D5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0564"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550D"/>
    <w:pPr>
      <w:keepNext/>
      <w:keepLines/>
      <w:spacing w:before="240" w:after="120" w:line="240" w:lineRule="auto"/>
      <w:outlineLvl w:val="0"/>
    </w:pPr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550D"/>
    <w:pPr>
      <w:keepNext/>
      <w:keepLines/>
      <w:spacing w:before="40" w:after="120" w:line="240" w:lineRule="auto"/>
      <w:outlineLvl w:val="1"/>
    </w:pPr>
    <w:rPr>
      <w:rFonts w:ascii="Verdana" w:eastAsiaTheme="majorEastAsia" w:hAnsi="Verdana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550D"/>
    <w:pPr>
      <w:keepNext/>
      <w:keepLines/>
      <w:spacing w:before="40" w:after="120" w:line="240" w:lineRule="auto"/>
      <w:outlineLvl w:val="2"/>
    </w:pPr>
    <w:rPr>
      <w:rFonts w:ascii="Verdana" w:eastAsiaTheme="majorEastAsia" w:hAnsi="Verdana" w:cstheme="majorBidi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0D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50D"/>
    <w:rPr>
      <w:rFonts w:eastAsiaTheme="majorEastAsia" w:cstheme="majorBidi"/>
      <w:b/>
      <w:sz w:val="22"/>
      <w:szCs w:val="26"/>
      <w:lang w:val="en-CA"/>
    </w:rPr>
  </w:style>
  <w:style w:type="character" w:styleId="Hyperlink">
    <w:name w:val="Hyperlink"/>
    <w:uiPriority w:val="99"/>
    <w:qFormat/>
    <w:rsid w:val="009E550D"/>
    <w:rPr>
      <w:color w:val="2F5496" w:themeColor="accent1" w:themeShade="BF"/>
      <w:u w:val="single"/>
    </w:rPr>
  </w:style>
  <w:style w:type="paragraph" w:styleId="ListParagraph">
    <w:name w:val="List Paragraph"/>
    <w:basedOn w:val="Normal"/>
    <w:autoRedefine/>
    <w:uiPriority w:val="34"/>
    <w:qFormat/>
    <w:rsid w:val="00AC0E88"/>
    <w:pPr>
      <w:snapToGrid w:val="0"/>
      <w:spacing w:after="120" w:line="240" w:lineRule="auto"/>
      <w:ind w:left="720"/>
    </w:pPr>
    <w:rPr>
      <w:rFonts w:ascii="Verdana" w:hAnsi="Verdan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50D"/>
    <w:rPr>
      <w:rFonts w:eastAsiaTheme="majorEastAsia" w:cstheme="majorBidi"/>
      <w:b/>
      <w:sz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87"/>
    <w:rPr>
      <w:rFonts w:ascii="Times New Roman" w:hAnsi="Times New Roman" w:cs="Times New Roman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05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92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A5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92"/>
    <w:rPr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rsid w:val="000F741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43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3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0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0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2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2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6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rriculum.gov.bc.ca/curriculum/mathematics/4/core" TargetMode="External"/><Relationship Id="rId18" Type="http://schemas.openxmlformats.org/officeDocument/2006/relationships/hyperlink" Target="https://curriculum.gov.bc.ca/curriculum/mathematics/4/cor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urriculum.gov.bc.ca/curriculum/mathematics/4/co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urriculum.gov.bc.ca/curriculum/mathematics/4/core" TargetMode="External"/><Relationship Id="rId17" Type="http://schemas.openxmlformats.org/officeDocument/2006/relationships/hyperlink" Target="https://curriculum.gov.bc.ca/curriculum/mathematics/4/core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urriculum.gov.bc.ca/curriculum/mathematics/4/core" TargetMode="External"/><Relationship Id="rId20" Type="http://schemas.openxmlformats.org/officeDocument/2006/relationships/hyperlink" Target="https://curriculum.gov.bc.ca/curriculum/mathematics/4/cor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.gov.bc.ca/curriculum/mathematics/4/core" TargetMode="External"/><Relationship Id="rId24" Type="http://schemas.openxmlformats.org/officeDocument/2006/relationships/image" Target="media/image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urriculum.gov.bc.ca/curriculum/mathematics/4/core" TargetMode="External"/><Relationship Id="rId23" Type="http://schemas.openxmlformats.org/officeDocument/2006/relationships/hyperlink" Target="https://curriculum.gov.bc.ca/curriculum/mathematics/4/cor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urriculum.gov.bc.ca/curriculum/mathematics/4/core" TargetMode="External"/><Relationship Id="rId19" Type="http://schemas.openxmlformats.org/officeDocument/2006/relationships/hyperlink" Target="https://curriculum.gov.bc.ca/curriculum/mathematics/4/cor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urriculum.gov.bc.ca/curriculum/mathematics/4/core" TargetMode="External"/><Relationship Id="rId14" Type="http://schemas.openxmlformats.org/officeDocument/2006/relationships/hyperlink" Target="https://curriculum.gov.bc.ca/curriculum/mathematics/4/core" TargetMode="External"/><Relationship Id="rId22" Type="http://schemas.openxmlformats.org/officeDocument/2006/relationships/hyperlink" Target="https://curriculum.gov.bc.ca/curriculum/mathematics/4/cor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curriculum.gov.bc.ca/curriculum/mathematics/4/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Syl15</b:Tag>
    <b:SourceType>ElectronicSource</b:SourceType>
    <b:Guid>{471DFB03-0642-5546-8900-0ACF31F896A8}</b:Guid>
    <b:Title>the SAMR Model</b:Title>
    <b:Year>2015</b:Year>
    <b:Author>
      <b:Author>
        <b:NameList>
          <b:Person>
            <b:Last>Duckworth</b:Last>
            <b:First>Sylvia</b:First>
          </b:Person>
        </b:NameList>
      </b:Author>
    </b:Author>
    <b:Month>April</b:Month>
    <b:Day>5</b:Day>
    <b:RefOrder>1</b:RefOrder>
  </b:Source>
  <b:Source>
    <b:Tag>For</b:Tag>
    <b:SourceType>InternetSite</b:SourceType>
    <b:Guid>{BFECB59D-6DD4-6F45-95C2-3AC41B4424AD}</b:Guid>
    <b:Author>
      <b:Author>
        <b:Corporate>Forsyth County Schools</b:Corporate>
      </b:Author>
    </b:Author>
    <b:URL>https://www.forsyth.k12.ga.us/Page/52613</b:URL>
    <b:RefOrder>2</b:RefOrder>
  </b:Source>
</b:Sources>
</file>

<file path=customXml/itemProps1.xml><?xml version="1.0" encoding="utf-8"?>
<ds:datastoreItem xmlns:ds="http://schemas.openxmlformats.org/officeDocument/2006/customXml" ds:itemID="{04218628-FA15-0348-B39D-85237834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Marie Leach</dc:creator>
  <cp:keywords/>
  <dc:description/>
  <cp:lastModifiedBy>Amanda Younger</cp:lastModifiedBy>
  <cp:revision>2</cp:revision>
  <dcterms:created xsi:type="dcterms:W3CDTF">2022-02-09T06:49:00Z</dcterms:created>
  <dcterms:modified xsi:type="dcterms:W3CDTF">2022-02-09T06:49:00Z</dcterms:modified>
</cp:coreProperties>
</file>